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nach Euronorm Bfl-s1. Geprüft vom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