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bez dvojitého prstence z kulatých kartáčků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guma, odolná proti povětrnostním vlivům a oděru.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osmiboký voštinový vzor s nášlapným okrajem po stranách rozměrová tolerance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tekoucí voda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přes poměrně nízkou výšku rohože zajišťuje spodní strana v kombinaci s otevřenými voštinovými plochami dobrou propustnost vody.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Kruhovité nasazovací kartáčky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 s gumovými plástvy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 míru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Řez do pravoúhlého tvaru( pouze bez náběhové hrany).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