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racle Java 16 on Windows Server 2016 -->
    <w:p>
      <w:pPr>
        <w:spacing w:after="0"/>
        <w:ind w:left="120"/>
        <w:jc w:val="right"/>
      </w:pPr>
      <w:r>
        <w:drawing>
          <wp:inline distT="0" distB="0" distL="0" distR="0">
            <wp:extent cx="933450" cy="381000"/>
            <wp:effectExtent l="0" t="0" r="0" b="0"/>
            <wp:docPr id="0" name="" descr="emco Bau Logo"/>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3450" cy="381000"/>
                    </a:xfrm>
                    <a:prstGeom prst="rect">
                      <a:avLst/>
                    </a:prstGeom>
                  </pic:spPr>
                </pic:pic>
              </a:graphicData>
            </a:graphic>
          </wp:inline>
        </w:drawing>
      </w:r>
    </w:p>
    <w:p>
      <w:pPr>
        <w:spacing w:after="165"/>
        <w:ind w:left="120"/>
        <w:jc w:val="left"/>
      </w:pPr>
      <w:r>
        <w:rPr>
          <w:rFonts w:ascii="Arial" w:hAnsi="Arial"/>
          <w:b/>
          <w:i w:val="false"/>
          <w:color w:val="000000"/>
          <w:sz w:val="36"/>
        </w:rPr>
        <w:t>emco Bau</w:t>
      </w:r>
    </w:p>
    <w:p>
      <w:pPr>
        <w:spacing w:after="165"/>
        <w:ind w:left="120"/>
        <w:jc w:val="left"/>
      </w:pPr>
      <w:r>
        <w:rPr>
          <w:rFonts w:ascii="Arial" w:hAnsi="Arial"/>
          <w:b w:val="false"/>
          <w:i w:val="false"/>
          <w:color w:val="000000"/>
          <w:sz w:val="30"/>
        </w:rPr>
        <w:t>emco grilles de sol 772</w:t>
      </w:r>
    </w:p>
    <w:p>
      <w:pPr>
        <w:spacing w:after="0"/>
        <w:ind w:left="120"/>
        <w:jc w:val="left"/>
      </w:pPr>
      <w:r>
        <w:rPr>
          <w:rFonts w:ascii="Arial" w:hAnsi="Arial"/>
          <w:b w:val="false"/>
          <w:i w:val="false"/>
          <w:color w:val="000000"/>
          <w:sz w:val="21"/>
        </w:rPr>
        <w:t xml:space="preserve"> 
  </w:t>
      </w:r>
      <w:r>
        <w:br/>
      </w:r>
      <w:r>
        <w:rPr>
          <w:rFonts w:ascii="Arial" w:hAnsi="Arial"/>
          <w:b w:val="false"/>
          <w:i w:val="false"/>
          <w:color w:val="000000"/>
          <w:sz w:val="21"/>
        </w:rPr>
        <w:t xml:space="preserve"> 
  </w:t>
      </w:r>
    </w:p>
    <w:tbl>
      <w:tblPr>
        <w:tblW w:w="0" w:type="auto"/>
        <w:tblCellSpacing w:w="20" w:type="dxa"/>
        <w:tblBorders>
          <w:top w:val="none"/>
          <w:left w:val="none"/>
          <w:bottom w:val="none"/>
          <w:right w:val="none"/>
          <w:insideH w:val="none"/>
          <w:insideV w:val="none"/>
        </w:tblBorders>
      </w:tblPr>
      <w:tblGrid>
        <w:gridCol w:w="5280"/>
        <w:gridCol w:w="7634"/>
      </w:tblGrid>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Coloris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gris - similaire au RAL 1001</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jaune - similaire au RAL 1018</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gris - similaire au RAL 7001</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blanc - similaire au RAL 9010</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coloris spéciaux</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Sur demande (suivant une référence RAL ou un échantillon de carrelage)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Description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Ces différents modèles répondent aux normes de sécurité, stabilité et solidité les plus exigeantes. En raison de son poids élevé, la grille ne peut être soulevée par l'eau. Outre les formes à angles droits, les autres formes (circulaires ou à multiples angles) sont presque toutes réalisables.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Matériau</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matériau de synthèse de haute qualité, résistante aux chocs et aux rayons UV</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résistance à la corrosion, au chlore, à l'eau de mer et aux eaux thermales.</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absence d'éléments métalliques et présence d'une surface totalement fermée et hygiénique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profilé porteur</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barreaux pleins</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(27 x 10 mm)</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plots en caoutchouc de 10 mm sur le dessous de la grille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Revêtement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Surface de profilé plane assurant une sécurité maximale (SPP)</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écartement des profilés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8 mm selon les normes DIN EN 13451-1 et DIN EN 16582-1 (pour éviter le coincement des doigts)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Hauteur env. (mm)</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37 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liaison</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Système de liaison par des tubes porteurs en polyester armé de fibre de verre</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service et prestations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métrage</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service de pose</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réparations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remarque</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lavable de tout côtés</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fomes spéciales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oui</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écoulement de l'eau</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oui</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Cotes</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Largeur de la grille:….. mm (largeur de la goulotte)</w:t>
            </w:r>
          </w:p>
        </w:tc>
      </w:tr>
      <w:tr>
        <w:trPr>
          <w:trHeight w:val="30" w:hRule="atLeast"/>
        </w:trPr>
        <w:tc>
          <w:tcPr>
            <w:tcW w:w="5280" w:type="dxa"/>
            <w:tcBorders/>
            <w:tcMar>
              <w:top w:w="15" w:type="dxa"/>
              <w:left w:w="15" w:type="dxa"/>
              <w:bottom w:w="15" w:type="dxa"/>
              <w:right w:w="15" w:type="dxa"/>
            </w:tcMar>
            <w:vAlign w:val="top"/>
          </w:tcP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Longueur de la grille:….. mm</w:t>
            </w:r>
          </w:p>
        </w:tc>
      </w:tr>
      <w:tr>
        <w:trPr>
          <w:trHeight w:val="30" w:hRule="atLeast"/>
        </w:trPr>
        <w:tc>
          <w:tcPr>
            <w:tcW w:w="5280" w:type="dxa"/>
            <w:tcBorders/>
            <w:tcMar>
              <w:top w:w="15" w:type="dxa"/>
              <w:left w:w="15" w:type="dxa"/>
              <w:bottom w:w="15" w:type="dxa"/>
              <w:right w:w="15" w:type="dxa"/>
            </w:tcMar>
            <w:vAlign w:val="top"/>
          </w:tcPr>
          <w:p>
            <w:pPr>
              <w:spacing w:after="0" w:line="360"/>
              <w:ind w:left="0"/>
              <w:jc w:val="left"/>
            </w:pPr>
            <w:r>
              <w:rPr>
                <w:rFonts w:ascii="Arial" w:hAnsi="Arial"/>
                <w:b/>
                <w:i w:val="false"/>
                <w:color w:val="888888"/>
                <w:sz w:val="21"/>
              </w:rPr>
              <w:t>contact</w:t>
            </w:r>
          </w:p>
        </w:tc>
        <w:tc>
          <w:tcPr>
            <w:tcW w:w="7634" w:type="dxa"/>
            <w:tcBorders/>
            <w:tcMar>
              <w:top w:w="15" w:type="dxa"/>
              <w:left w:w="15" w:type="dxa"/>
              <w:bottom w:w="15" w:type="dxa"/>
              <w:right w:w="15" w:type="dxa"/>
            </w:tcMar>
            <w:vAlign w:val="center"/>
          </w:tcPr>
          <w:p>
            <w:pPr>
              <w:spacing w:after="0" w:line="360"/>
              <w:ind w:left="0"/>
              <w:jc w:val="left"/>
            </w:pPr>
            <w:r>
              <w:rPr>
                <w:rFonts w:ascii="Arial" w:hAnsi="Arial"/>
                <w:b w:val="false"/>
                <w:i w:val="false"/>
                <w:color w:val="000000"/>
                <w:sz w:val="21"/>
              </w:rPr>
              <w:t>emco Benelux B.V. · Divisie Bouwtechniek · Veldrijk 2 · 8530 Harelbeke / BE · Tel. (+32) 056 224 978 · bouwtechniek@benelux.emco.de · www.emco-bau.com</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