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724/25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majority of special colours (according to RAL or tile sample) are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run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Rigid swimming pool grating with grating bars running parallel to the pool edge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Swimming pool grating that is robust, solid and pleasant to walk on, which efficiently collects the overflow water at the edge of the pool and provides maximum safety and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 quality, extremely hard-wearing plastic, with UV absorber.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Entirely corrosion-free and resistant to chlorine, sea water and spa water.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 need for any metal parts; surface enclosed on all sides to provide maximum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 profile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Finish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Round upper profile surface with safety profile seal (SPS).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spacing: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in accordance with DIN EN 13451-1 and DIN EN 16582-1 (to prevent areas where fingers could become trapped)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Fibre-glass reinforced polyester pipes as connection elements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 in accordance with DIN 51097, classification C - tested by the "Institut der Säurefliesner-Vereinigung (Säurefliesner consortium)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Variable grating width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width:.........................mm (channel width)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length:.........................mm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