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con inserción de goma y borde raspador 522 SGK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SGK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Inserciones de goma perfiladas, resistentes al desgaste y a la intemperie.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Conjunto del sistema de alfombra disponible con la clasificación Cfl-s1 según la norma EN 13501 (testado por el Insituto GmbH Textiles &amp; Flooring).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