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Original mit Gummieinlage 517 SG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SG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Belastung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verstärkte Trägerprofile aus verwindungssteifem Aluminium mit unterseitiger Gehschalldämmung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Trägerprofilfarbe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natur eloxiert. Gegen Aufpreis Eloxalfarben: EV3 Gold, C33 Mittelbronze, C35 Schwarz oder C31 Edelstahl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Höhe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Trittfläche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eingelassene, widerstandsfähige, witterungsbeständige profilierte Gummieinlagen.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Profilabstand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Abstandhalter aus Gummi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Karusselltüren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Bei Karusselltüren sind unsere Matten mit einem Stababstand von 3mm nach DIN EN 16005 erhältlich.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Rutschsicherheit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rutschhemmende Eigenschaft R 9 nach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Gummi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Brandverhalten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Brandverhalten der kompletten Mattenanlage nach EN 13501 in Bfl-s1 auf Wunsch lieferbar (gegen Aufpreis).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durch kunststoffummanteltes Edelstahlseil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Jahre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Garantiebedingungen finden Sie unter: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Abmessungen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Mattenbreite:.........................mm (Stablänge)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Mattentiefe:.........................mm (Gehrichtung)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BIM Daten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BIM Daten stehen zum Download unter https://www.emco-bau.com/pim/bim-daten-GER.zip bereit.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49808 Lingen (Ems) · Telefon: 0591/9140-500 · Telefax: 0591/9140-852 · e-mail: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