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y borde raspador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Conjunto del sistema de alfombra disponible con la clasificación Cfl-s1 según la norma EN 13501 (testado por el Insituto GmbH Textiles &amp; Flooring).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