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mit Gummieinlage und Kratzkante 517 SGK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SGK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profilierte Gummieinlagen.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 lieferbar (geprüft vom Textiles &amp; Flooring Institute GmbH).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