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mit Cassettenbürste 517 CB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CB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Hinweis zur Höhe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tatsächliche Höhe der Einlage kann aufgrund der Bürsten ca. 2mm höher sein.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widerstandsfähige, witterungsbeständige Cassettenprofile, bestückt mit parallel angeordneten Borstenbündeln. Tatsächliche Mattenhöhe: + 1 bis 2 mm.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13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(nur mit schwarzen Borstenbündeln) nach EN 13501 in Cfl-s1 auf Wunsch lieferbar (gegen Aufpreis).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