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con inserción de goma y borde raspador 512 SGK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SGK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Inserciones de goma perfiladas, resistentes al desgaste y a la intemperie.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Conjunto del sistema de alfombra disponible con la clasificación Cfl-s1 según la norma EN 13501 (testado por el Insituto GmbH Textiles &amp; Flooring).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