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:Relationships xmlns:rel="http://schemas.openxmlformats.org/package/2006/relationships">
    <rel:Relationship Target="word/document.xml" Type="http://schemas.openxmlformats.org/officeDocument/2006/relationships/officeDocument" Id="rId1"/>
    <rel:Relationship Target="docProps/core.xml" Type="http://schemas.openxmlformats.org/package/2006/relationships/metadata/core-properties" Id="rId2"/>
    <rel:Relationship Target="docProps/app.xml" Type="http://schemas.openxmlformats.org/officeDocument/2006/relationships/extended-properties" Id="rId3"/>
</rel: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 textilní vložkou 512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pásky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11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č.485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světle šedá NR.220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č.305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písková č.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kompletní rohožové sestavy k dodání dle normy EN 13501 v Cfl-s1 (za přirážku).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