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5022 CN+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CN+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osadnikowych może stanowić jednoczęściowe korytko lub wiele korytek, które mogą być zestawiane modułowo, ze zmienną szerokością i głębokością. Z punktu widzenia wyglądu mata wejściowa jest produkowana w tej samej wielkości bez ramy lub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zbierające brud i wodę dostępne są również w specjalnych kształtach, np. z zaokrągleniami, co pozwala na ich adaptację w każdym budynku. Skontaktuj się z nami.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(V2A), wodoszczelnie spawana, w celu ułatwienia czyszczenia wewnętrzne wykończenie całkowicie gładkie.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 w odstępach maks. co 150mm z wyżłobieniami do spływu wody ze wszystkich kierunków. Te profile muszą przebiegać poprzecznie pod profilami pod kątem 90 stopni.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65-90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Uwaga: W przypadku wysokości wanny poniżej 85 mm zastosowanie połączeń przelewowych pomiędzy poszczególnymi modułami wanny nie jest możliwe.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