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5022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System wanien osadnikowych może stanowić jednoczęściowe korytko lub wiele korytek, które mogą być zestawiane modułowo, ze zmienną szerokością i głębokością. Z punktu widzenia wyglądu mata wejściowa jest produkowana w tej samej wielkości bez ramy lub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Kształty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zbierające brud i wodę dostępne są również w specjalnych kształtach, np. z zaokrągleniami, co pozwala na ich adaptację w każdym budynku. Skontaktuj się z nami.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(V2A), wodoszczelnie spawana, w celu ułatwienia czyszczenia wewnętrzne wykończenie całkowicie gładkie.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wsporczy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 w odstępach maks. co 300 mm z wyżłobieniami do spływu wody ze wszystkich kierunków. Te profile muszą przebiegać poprzecznie pod profilami pod kątem 90 stopni.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części wanny jest skręcanych razem na miejscu, tworząc system modułowy.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Wyposażenie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życzenie z jednym odpływem, jak również z połączeniami przelewowymi dla kilku części wanny. Jeśli istnieje kilka sekcji wanien zalecamy jeden odpływ dla każdej sekcji wanny.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wyposażenie odpływu w rozmiarach DN 50, DN 70 lub DN 100 wraz z sitem ze stali nierdzewnej. Odpływ o wymiarze DN 50 jest standardem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jednoczęściowa: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złożona z wielu modułów: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Uwaga: W przypadku wysokości wanny poniżej 65 mm zastosowanie połączeń przelewowych pomiędzy poszczególnymi modułami wanny nie jest możliwe.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