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Einbaurahmen 500 Chrom-Nickel-Stahl (V2A) 500-25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500-25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Einbauanweisung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Der Rahmen (A) muss sowohl bündig mit dem geeigneten Untergrund (H) im Mattenbett, als auch mit dem Bodenbelag (J) abschließen. Mattenauflage und Mattenbett: Der geeignete Untergrund (H), zum Beispiel Estrich, muss absolut eben sein (DIN 18560). Weist das Mattenbett Unregelmäßigkeiten auf, sind diese vor dem Einlegen der Matte auszugleichen. Wir empfehlen in diesen Fällen, eine flüssige Spachtelmasse aufzutragen. Der Rahmen kann sowohl ins Mattenbett geklebt, mechanisch fixiert oder mit den optional wählbaren Rahmenanker fest im geeigneten Untergrund eingebunden werden. Dabei ist zu beachten, dass der Rahmen und die Eingangsmatte vollflächig aufliegen.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Rahmenprofilmaße (HxBxT)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 x 20 x 3 Edelstahl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Rahmenbreite:.........................mm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Rahmentiefe:.........................mm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