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Einbaurahmen 500 Aluminium 500-20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Rahmenprofilfarbe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Gegen Aufpreis Eloxalfarben: EV3 Gold, C33 Mittelbronze, C35 Schwarz oder C31 Edelstahl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Einbauanweisung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Der Rahmen (A) muss sowohl bündig mit dem geeigneten Untergrund (H) im Mattenbett, als auch mit dem Bodenbelag (J) abschließen. Mattenauflage und Mattenbett: Der geeignete Untergrund (H), zum Beispiel Estrich, muss absolut eben sein (DIN 18560). Weist das Mattenbett Unregelmäßigkeiten auf, sind diese vor dem Einlegen der Matte auszugleichen. Wir empfehlen in diesen Fällen, eine flüssige Spachtelmasse aufzutragen. Der Rahmen kann sowohl ins Mattenbett geklebt, mechanisch fixiert oder mit den optional wählbaren Rahmenanker fest im geeigneten Untergrund eingebunden werden. Dabei ist zu beachten, dass der Rahmen und die Eingangsmatte vollflächig aufliegen.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Rahmenprofilmaße (HxBxT)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Rahmentiefe:.........................mm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Telefon: 0591/9140-500 · Telefax: 0591/9140-852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