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Aluminium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Rahmenprofilfarbe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natur eloxiert. Gegen Aufpreis Eloxalfarben: EV3 Gold, C33 Mittelbronze, C35 Schwarz oder C31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