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Einbaurahmen 500 Aluminium 500-15 AL</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500-15 AL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Materialstärke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Rahmenprofilfarbe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Gegen Aufpreis Eloxalfarben: EV3 Gold, C33 Mittelbronze, C35 Schwarz oder C31 Edelstahl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Einbauanweisung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Der Rahmen (A) muss sowohl bündig mit dem geeigneten Untergrund (H) im Mattenbett, als auch mit dem Bodenbelag (J) abschließen. Mattenauflage und Mattenbett: Der geeignete Untergrund (H), zum Beispiel Estrich, muss absolut eben sein (DIN 18560). Weist das Mattenbett Unregelmäßigkeiten auf, sind diese vor dem Einlegen der Matte auszugleichen. Wir empfehlen in diesen Fällen, eine flüssige Spachtelmasse aufzutragen. Der Rahmen kann sowohl ins Mattenbett geklebt, mechanisch fixiert oder mit den optional wählbaren Rahmenanker fest im geeigneten Untergrund eingebunden werden. Dabei ist zu beachten, dass der Rahmen und die Eingangsmatte vollflächig aufliegen.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Rahmenprofilmaße (HxBxT) in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15,5 x 25 x 3 Aluminium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Abmessungen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Rahmenbreite:.........................mm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Rahmentiefe:.........................mm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Kontakt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49808 Lingen (Ems) Telefon: 0591/9140-500 · Telefax: 0591/9140-852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