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übergreifend mit Rahmen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Freiheit für individuelle Gestaltung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Trotz rechtwinkliger Form der Wannen sind einem kreativen Mattenzuschnitt keine Grenzen gesetzt. Besonders architektonisch reizvolle Eingänge verlangen nach einer harmonisch integrierten Eingangsmatte. In diesen Fällen werden die Wannen in den Bereich der größten Schmutzfrequenz gesetzt und die Eingangsmatte geht x-beliebig darüber hinaus.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im Abstand von max. 300 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umlaufende Abkantung als Rahmen für die Eingangsmatte entfällt. Auf Wunsch erhalten Sie zusätzlich einen Rahmen passend zur gewählten Eingangsmatte.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45-90mm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