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Waterdichte aluminium vuilvangbak met een vlakke ondergrond voor een probleemloze reiniging. Desgewenst ook leverbaar in r.v.s. (V2A).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ondersteuningsprofielen voorzien van uitsparingen die op een afstand van max. 150mm zijn aangebracht, zodat het water naar alle zijden kan worden afgevoerd. De profielen van de entreemat dienen haaks op de looprichting te liggen.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bakbreedte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