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een eendelige bak of uit meerdere bakken bestaan, die in breedte en diepte variabel zijn, en de bakken zijn met elkaar moduul gewijs te koppelen. Afhankelijk van de visuele en functionele gezichtspunten wordt de entreemat in dezelfde maten of overlappend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vrijheid voor individuele vormgeving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Ondanks de rechthoekige vorm van de vuilvangbakken gelden er geen beperkingen voor een creatieve vormgeving aan de entreematten. Vanuit architectonisch oogpunt vereisen bijzonder aantrekkelijke entrees een harmonisch geïntegreerde entreemat. In dergelijke gevallen worden de bakken daar geplaatst, waar het meeste vuil vrij zal komen. De entreemat kan willekeurig ver doorlopen buiten deze bakken.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ondersteuningsprofielen voorzien van uitsparingen die op een afstand van max. 150mm zijn aangebracht, zodat het water naar alle zijden kan worden afgevoerd. De profielen van de entreemat dienen haaks op de looprichting te liggen.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omranding voor de entreemat. Indien gewenst ontvangt u een inbouwraam passend bij uw entreemat.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65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