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37,1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zusammengesetzt werden. Nach optischen und funktionalen Gesichtspunkten wird die Eingangsmatte übergreifend mit Rahmen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Freiheit für individuelle Gestaltung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Trotz rechtwinkliger Form der Wannen sind einem kreativen Mattenzuschnitt keine Grenzen gesetzt. Besonders architektonisch reizvolle Eingänge verlangen nach einer harmonisch integrierten Eingangsmatte. In diesen Fällen werden die Wannen in den Bereich der größten Schmutzfrequenz gesetzt und die Eingangsmatte geht x-beliebig darüber hinaus.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Unterstützungsprofil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im Abstand von max. 150mm mit Ausnehmungen zum allseitigen Wasserablauf. Diese Profile müssen im 90° Winkel quer unter den Profilen verlaufen.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umlaufende Abkantung als Rahmen für die Eingangsmatte entfällt. Auf Wunsch erhalten Sie zusätzlich einen Rahmen passend zur gewählten Eingangsmatte.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zusammengeschraubt.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Ausstattung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Auf Wunsch mit einer Ablaufvorrichtung, sowie einer Wasserüberlaufverbindung bei mehreren Wannenteilen. Wir empfehlen bei mehreren Wannenteilen eine Ablaufvorrichtung pro Wannenteil.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Komplette Ablaufvorrichtung in den Größen DN 50, DN 70 oder DN 100 inklusive Edelstahlsieb. Standard ist eine Ablaufvorrichtung in der Größe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einteilige Wanne: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mehrteilige Wannen: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Hinweis: Unter 65mm Wannenhöhe ist eine Wasserüberlaufverbindung bei mehrteiligen Wannen nicht möglich</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