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DIPLOMAT Premium SPIN®Safe Con inserción Outdoor 22 SPIN/P Outdoor</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22 SPIN/P Outdoor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Carga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normal a intensa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Perfil portador</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Perfiles reforzados de aluminio rígido con aislamiento acústico interior</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Altura aprox.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25.9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Superficie de tránsito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El revestimiento exterior resistente a la intemperie para una abrasión de la suciedad gruesa notablemente profunda. Combinado con baldosas de acero inoxidable para una óptima orientación para personas con dificultad de visión (según DIN 32 984) en la zona de entrada.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Distancia entre perfiles estándar (mm) aprox.</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 distanciador de goma</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Antirresbalante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Propiedades antideslizante de la inserción: R11, Propiedades antideslizantes de la baldosa de acero inoxidable: R9 (según DIN 51130)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Colores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Antracita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marrón</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rojo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Unión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Cable de acero con revestimiento de plástico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Garantía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 años de garantía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Las condiciones de la garantía se pueden consultar 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color frente a la luz ISO 105 BO2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excelente 7</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ResistenciadelcoloralafricciónISO105 X 12</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Resistencia al gua ISO 105 E01</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buena 4 - -5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Ancho de alfombra:……….mm (longitud de barra)</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Fondo de alfombra:……mm (dirección de movimiento)</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Contacto</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Spain · Ctra de Cornellá, 147 - 149 Cityparc Atenas 2º; 2ª · 08940 Cornellá de Llobregat (Barcelona) · Teléfono: 93 241 14 25 · Fax: 93 241 14 26 · Mail: info.es@emco.de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