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MARSCHALL Premium SPIN®Safe mit Einlage Care 22 SPIN/PS Care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Typ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22 SPIN/PS Care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Belastung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bis stark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Trägerprofil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verstärkte Trägerprofile aus verwindungssteifem Aluminium mit unterseitiger Gehschalldämmung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ca. Höhe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25.9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Trittfläche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Die robuste und äußerst abriebfeste Care-Einlage für eine effektive Reduzierung von Feinschmutz. Kombiniert mit Edelstahlfliesen zur optimalen Orientierung für Blinde und Sehgeschädigte (gem. DIN 32984) im Eingangsbereich.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Standard Profilabstand ca.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Abstandhalter aus Gummi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Rutschsicherheit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rutschhemmende Eigenschaft der Einlage: R12, rutschhemmende Eigenschaft der Edelstahlfliese: R10 (nach DIN 51130)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47.01 anthrazit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47.04 beige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47.03 braun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47.02 grau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Verbindung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durch kunststoffummanteltes Stahlseil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Garantie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Jahre Garantie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Garantiebedingungen finden Sie unter: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Licht ISO 105 BO2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5-6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Reiben ISO 105 X12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Farbechtheit gegen Wasser ISO 105 E01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gut 4-5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Abmessungen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Mattenbreite:.........................mm (Stablänge)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Mattentiefe:.........................mm (Gehrichtung)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Kontakt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Bautechnik GmbH · Breslauer Straße 34 - 38 · 49808 Lingen (Ems) · Telefon: 0591/9140-500 · Telefax: 0591/9140-852 · e-mail: bau@emco.de · www.emco-bau.com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